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627-т</w:t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11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238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11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238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филиалу акционерного общества «Ямалкоммунэнерго» в Приуральском районе тарифов на питьевую воду для расчетов с потребителями села Белоярск муниципального образования муниципальный округ Приуральский район Ямало-Ненецкого автономного округа,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на 2021 - 2025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19 декабря 2024 года № 627-т</w:t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11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238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9"/>
        <w:gridCol w:w="6661"/>
        <w:gridCol w:w="730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top"/>
            <w:textDirection w:val="lrTb"/>
            <w:noWrap w:val="false"/>
          </w:tcPr>
          <w:p>
            <w:pPr>
              <w:pStyle w:val="836"/>
              <w:ind w:firstLine="54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953,48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.2021 по 31.12.202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 – 1214,54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1032,86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1032,86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1049,89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1049,89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1049,89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1049,89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 по 30.06.2025 – 866,75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866,75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consultantplus://offline/ref=2869926D8408B4250D1CEAFC193A680504C51FD7CC599F46C4F484592405257689A119F15ABC6092981759210A2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47692E9F5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930EF994934D9D72447CH0D4Q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,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50,48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– 52,19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– 52,19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53,96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58,81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58,81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58,81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63,51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63,51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68,84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consultantplus://offline/ref=2869926D8408B4250D1CEAFC193A680504C51FD7CC599F46C4F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484592405257689A119F15ABC60929817592109247692E9F5930EF994934D9D72447CH0D4Q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,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consultantplus://offline/ref=2869926D8408B4250D1CEAFC193A680504C51FD7CC599F46C4F484592405257689A119F15ABC60929817592108247692E9F5930EF9949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34D9D72447CH0D4Q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60,58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– 62,63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– 62,63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64,75</w:t>
            </w:r>
            <w:r>
              <w:rPr>
                <w:rFonts w:ascii="Liberation Sans" w:hAnsi="Liberation Sans" w:cs="Liberation Sans"/>
                <w:sz w:val="24"/>
                <w:highlight w:val="non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70,57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70,57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 – 70,57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76,21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76,21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82,61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</w:tbl>
    <w:p>
      <w:pPr>
        <w:jc w:val="righ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2024-12-23T08:59:29Z</dcterms:modified>
</cp:coreProperties>
</file>